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13.09.2021, оставленным без изменения постановлением Одиннадцатого арбитражного апелляционного суда от 22.11.2021 и постановлением Арбитражного суда Поволжского округа от 20.01.2022, признаны погашенными требования кредиторов должника и прекращено производство по делу о банкротстве. В кассационной жалобе Миллер Г.В. просит об отмене судебных актов, ссылаясь на неустановление имеющих значение для дела обстоятельств и преждевременность прекращения производства по делу.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абзацу 7 пункта 1 статьи 57 Федерального закона от 26.10.2002 № 127-ФЗ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Удовлетворение находящихся в реестре требований установлено судами и дело прекращено на основании указанной нормы. На злоупотребления в действиях лица, погасившего долги, должник не ссылается и судами таковое не установлено.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Миллеру Г.В.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