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11.03.2019 Федоров Станислав Владимирович признан несостоятельным (банкротом), в отношении него введена процедура реализации имущества гражданина, финансовым управляющим утвержден Рапопорт Михаил Юрьевич. Финансовый управляющий имуществом должника обратился в Арбитражный суд города Санкт-Петербурга и Ленинградской области с ходатайством об утверждении положений о порядке, условиях и сроках реализации имущества должника, представив три предложения - предложение, предложение № 1 и предложение № 2. Определением Арбитражного суда города Санкт-Петербурга и Ленинградской области от 14.12.2020 выделены в отдельное производство вопросы об утверждении положений о порядке, условиях и сроках реализации имущества должника в части реализации права требования к Кирееву С.Н. (предложение № 3, лот 1); квартиры, расположенной по адресу: г. Москва, 2 ул. Минская, д. 1Г, корп. 2, кв. 57; машино-места (предложение, лот 1) и машино-места в гараже по адресу: Санкт-Петербург, ул. Всеволода Вишневского, д. 13 (предложение № 2, лот 1). Утверждено предложение № 3 о порядке, условиях и сроках реализации имущества должника в редакции, представленной финансовым управляющим, в отношении лотов № 2-6, установлена начальная цена продажи имущества. Постановлением Тринадцатого арбитражного апелляционного суда от 18.10.2021 определение суда первой инстанции оставлено без изменения. Арбитражный суд Северо-Западного округа постановлением от 28.02.2022 указанные судебные акты оставил без изменения. Общество с ограниченной ответственностью «Экспотрейд»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положениями статей 213.25, 213.26 Федерального закона от 26.10.2002 № 127-ФЗ «О несостоятельности (банкротстве)», признали предложенную финансовым управляющим начальную цену разумной и отвечающей интересам кредиторов, установили соответствие положения требованиям действующего законодательства и целям процедуры реализации имущества должника, направленной на пополнение конкурсной массы, и пришли к выводу о доказанности наличия всех необходимых и достаточных оснований для утверждения представленного финансовым управляющим предложения № 3 в части лотов № 2 - 6. Доводы, изложенные в кассационной жалобе, о нарушении судом первой инстанции норм процессуального права при рассмотрении настоящего обособленного спора приводились в судах апелляционной и кассационной инстанций, были рассмотрены судами и отклонены, поскольку не привели к 3 принятию неправильного судебного акта по существу спора и не могут рассматриваться в качестве безусловного основания для отмены судебного акта. Доводы по существу спора в жалобе не приведены.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«Экспотрейд»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