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14.04.2022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21.12.2021, срок на обжалование которого истек 21.02.2022. 2 Обратившись с кассационной жалобой 14.04.2022,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получение копии постановления суда округа 18.02.2022.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и его представитель участвовал при рассмотрении дела в судах трех инстанции. С полным текстом последнего обжалуемого судебного акта - постановления Арбитражного суда Московского округа от 21.12.2021 заявитель мог ознакомиться 22.12.2021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При этом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3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Судостроительный завод «Северная верфь» в удовлетворении ходатайства о восстановлении пропущенного процессуального срока. Кассационную жалобу на решение на решение Арбитражного суда города Москвы от 15.06.2021, постановление Девятого арбитражного апелляционного суда от 31.08.2021 и постановление Арбитражного суда Московского округа от 21.12.2021 по делу № А40-241238/2020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