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Департамент городского имущества г. Москвы (далее – департамент) обратился в суд с заявлением об обязании должника инвестора подписать акт о результатах частичной реализации инвестиционного проекта согласно инвестиционному контракту от 24.07.2003№ ДЖП.03.ЦАО.00468 (реестровый № 13-008394-5001-0012- 00001-03) в редакции дополнительных соглашений к нему в части распределения площади подземного гаража-стоянки. Определением Арбитражного суда города Москвы от 23.08.2021, оставленным без изменения постановлениями Девятого арбитражного апелляционного суда от 13.10.2021 и Арбитражного суда Московского округа от 08.02.2022,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196, 200, 309, 310, 421 Гражданского кодекса Российской Федерации, пунктом 3 статьи 3 Федерального закона от 25.02.1999 № 39-ФЗ «Об инвестиционной деятельности в Российской Федерации, осуществляемой в форме капитальных вложений», пункта 24.2 Федерального закона от 21.07.1997 № 122-ФЗ «О государственной регистрации прав на недвижимое имущество и сделок с ним», исходили из обоснованности заявления департамента и наличия оснований для его удовлетворения в целях предоставления сторонам инвестиционного контракта возможности зарегистрировать право собственности на созданные объекты недвижимости, мотивированно отклонив доводы о пропуске обратившегося с ним лица срока исковой давности.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Мхитаряну Аршалуйсу Зелимхановичу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