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19.07.2021 завершена процедура реализации имущества гражданина Воронина Дмитрия Юрьевича, в отношении должника не применено правило об освобождении от исполнения обязательств перед кредиторами. Постановлением Одиннадцатого арбитражного апелляционного суда от 24.09.2021 определение суда первой инстанции оставлено без изменения. Арбитражный суд Поволжского округа постановлением от 22.12.2021 указанные судебные акты оставил без изменения. Воронин Дмитрий Юрьевич обратился в Судебную коллегию Верховного Суда Российской Федерации с кассационной жалобой и дополнением к ней на принятые судебные акты в части неприменения правила об освобождении должника от исполнения обязательств,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с учетом дополнения, изученным по материалам, приложенным к ним,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суды пришли к выводу о недоказанности наличия обстоятельств, позволяющих признать должника добросовестным и освободить его от исполнения обязательств. Доводы жалобы и дополнения к ней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Воронину Дмитрию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