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Дальневосточного округа от 28.10.2021, оставленным без изменения определением того же суда от 21.12.2021, в удовлетворении ходатайства общества о восстановлении срока на подачу кассационной жалобы на постановление Шестого арбитражного апелляционного суда от 21.09.2021 отказано, жалоба возвращена. В кассационной жалобе общество просит отменить судебные акты окружного суда, ссылаясь на умаление прав сокращением срока на обжалование на один день.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 округа оценил приведенную причину пропуска срока на подачу кассационной жалобы и установил отсутствие у нее объективного характера. Отказ в восстановлении пропущенного процессуального срока соответствует части 2 статьи 117 и пункту 2 части 1 статьи 281 Арбитражного процессуального кодекса Российской Федерации. Приведенный в жалобе порядок исчисления срока на кассационное обжалование противоречит статьям 113 , 114 , 177 , 276 Арбитражного процессуального кодекса Российской Федерации, поэтому связанный с ним довод не создает оснований для пересмотра обжалуемых судебных актов.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«М.П.А. медицинские партнеры»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