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«Талан» и Каргин Андрей Николаевич обратились в суд с заявлениями, объединенными в одно производство для совместного рассмотрения, о привлечении Шакирова Виталия Маратовича и Шакировой Татьяны Александровны к субсидиарной ответственности по обязательствам должника – общества с ограниченной ответственностью «Закон». Определением Арбитражного суда Свердловской области от 04.07.2020, оставленным без изменения постановлением Семнадцатого арбитражного апелляционного суда от 02.10.2020, производство по делу прекращено. Постановлением Арбитражного суда Уральского округа от 19.01.2021 принятые по делу судебные акты в части прекращения производства по заявлению Каргина А.Н. отменены, дело в отменённой части направлено на новое рассмотрение в суд первой инстанции. В остальной части судебные акты судов первой и апелляционной инстанций оставлены без изменения. При новом рассмотрении общество «Талан» подало в суд заявление о присоединении к заявлению Каргина А.Н. Определением Арбитражного суда Свердловской области от 12.10.2021, оставленным без изменения постановлениями Семнадцатого арбитражного апелляционного суда от 24.12.2021 и Арбитражного суда Уральского округа от 14.02.2022, производство по заявлению общества «Талан» прекращено; судебное разбирательство по заявлению Каргина А.Н. отложено. В кассационной жалобе, поданной в Верховный Суд Российской Федерации, заявитель просит отменить названные судебные акты в части прекращения производства по его заявлению.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и подтверждая законность такого прекращения, суды, руководствуясь статьёй 16, частью 3 статьи 151, частью 7 статьи 225.16 Арбитражного процессуального кодекса Российской Федерации, пунктами 52, 53, 57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того, что право на присоединение к иску о привлечении Шакировых к субсидиарной ответственности по обязательствам общества с ограниченной ответственностью «Закон» было утрачено обществом «Талан» ещё в деле № А60-56366/2018 в отсутствие к тому уважительных причин. Следовательно, такое право отсутствует у заявителя и в настоящее время, применительно к иску Каргина А.Н. Выводы судов в обжалуемой заявителем части соответствуют нормам права, оснований для переоценки этих выводов не имеется. Существенных нарушений норм материального права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«Талан»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