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29.06.2021, оставленным без изменения постановлением Девятого арбитражного апелляционного суда от 26.10.2021 и постановлением Арбитражного суда Московского округа от 20.01.2022, в удовлетворении заявления отказано. В кассационной жалобе, поданной в Верховный Суд Российской Федерации, ООО «Интеграл» просит отменить судебные акты, ссылаясь на нарушение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ООО «Лес Ангары» за период с 06.11.2014 по 22.02.2017, по результатам составлен акт и вынесено решение от 27.02.2018 № 581. Данным решением ООО «Лес Ангары» доначислены налог на прибыль организаций и налог на добавленную стоимость, начислены соответствующие суммы пени и штрафа. ООО «Интеграл», считая решение инспекции нарушающим его права и законные интересы, а также не соответствующим материалам, собранным в ходе выездной проверки, обратилось с заявлением в арбитражный суд. Отказывая в удовлетворении заявленного требования, суды трех инстанций, руководствуясь положениями статей 198, 200, 201 Арбитражного процессуального кодекса Российской Федерации, пришли к выводу об отсутствии совокупности условий, необходимых для признания ненормативного правового акта незаконным, поскольку по смыслу действующего законодательства право на обращение в суд имеет лицо, права и законные интересы которого непосредственно затрагиваются оспариваемым актом. В рассматриваемом случае решение инспекции не содержит каких-либо выводов о правах и обязанностях ООО «Интеграл», а также не возлагает на указанное лицо обязанности совершить определенные действия. При этом обжалуя вступившее в законную силу решение налогового органа, которое не было предметом судебного рассмотрения, ООО «Интеграл» фактически пытается преодолеть законность вступивших в законную силу судебных актов, принятых в рамках дела о банкротстве № А40-302893/2018. 3 Доводы относительно того, что решением инспекции затрагиваются права заявителя жалобы в связи с наличием выводов о нереальности хозяйственных операций ООО «Лес Ангары» с ООО «Интеграл» признаются несостоятельными с учетом предмета спора (оспаривание решения налогового органа, принятого по результатам выездной налоговой проверки конкретного налогоплательщика). Иные доводы, изложенные в кассационной жалобе, сводятся к оспариванию решения инспекции по существу, не опровергают выводы судов, не свидетельствуют о существенных нарушениях норм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