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недействительными решений, принятых на собрании кредиторов должника от 01.06.2020. Определением Арбитражного суда города Москвы от 17.09.2020, оставленным без изменения постановлением Девятого арбитражного апелляционного суда от 29.10.2020,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Письмом Верховного суда Российской Федерации от 25.02.2021 материалы дела № А40-109854/2019, касающиеся данного спора, были истребованы в Арбитражном суде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Отказывая в удовлетворении заявления, суды, руководствуясь статьями 12, 15, 17, 18, 45 Федерального закона от 26.10.2002 № 127-ФЗ «О несостоятельности (банкротстве)», исходили из отсутствия оснований для удовлетворения заявления. Вместе с тем, хотя приведенные заявителем в кассационной жалобе доводы заслуживают внимания, но они нашли своё отражение в постановлении Арбитражного суда Московского округа от 15.01.2021 по настоящему делу, которым жалоба заявителя удовлетворена, отменено решение суда первой инстанции от 25.06.2020 и постановление апелляционного суда от 13.10.2020 в части утверждения конкурного управляющего должником из числа избранной на собрании саморегулируемой организации с направлением вопроса на новое рассмотрение в Арбитражный суд города Москвы. Следовательно, на момент изучения настоящей жалобы, нарушенные права заявителя являются восстановленными, а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Банк «ЮГРА» государственной корпорации «Агентство по страхованию вкладов»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"ИНТЕРЛАЙН" (подробнее) КУ ПАО Банк "ЮГРА" в лице ГК "АСВ" (подробнее) ООО "Восток" (подробнее) ООО "Куэльпор" (подробнее) ООО "ПРОТЕЯ" (подробнее) ООО "Ратон" (подробнее) ООО "СИТИСТЕЙТ" (подробнее) ООО "СПСС" (подробнее) ПАО Банк "ЮГРА" (подробнее) Ответчики: ООО "Техкомплект" (подробнее) Иные лица: ААУ СРО "ЦААУ" (подробнее) АО Ювента - Стиль (подробнее) АССОЦИАЦИЯ "САМОРЕГУЛИРУЕМАЯ ОРГАНИЗАЦИЯ АРБИТРАЖНЫХ УПРАВЛЯЮЩИХ ЦЕНТРАЛЬНОГО ФЕДЕРАЛЬНОГО ОКРУГА" (подробнее) ООО РСУ -14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