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пассажирская компания» обратилось в Арбитражный суд города Москвы с иском о взыскании с общества с ограниченной ответственностью «Проспект» 874 268 рублей 30 копеек штрафа. Решением Арбитражного суда города Москвы от 10.08.2021 иск удовлетворен в части взыскания 820 000 рублей штрафа, в удовлетворении иска в остальной части отказано. Постановлением Девятого арбитражного апелляционного суда от 09.11.2021 решение суда первой инстанции оставлено без изменения. Арбитражный суд Московского округа постановлением от 27.01.2022 указанные судебные акты оставил без изменения. Общество с ограниченной ответственностью «Проспект»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предъявление для перевозки в нарушение условий договора предметов, запрещенных к перевозке в качестве грузобагажа, а также правильность начисления штрафа, руководствуясь статьей 111 Федерального закона от 10.01.2013 № 18-ФЗ «Устав железнодорожного транспорта Российской Федерации», суды пришли к выводу о наличии оснований для удовлетворения иска, снизив размер подлежащего взысканию штрафа на основании статьи 333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«Проспект»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