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Михальцов Андрей Владимирович обратился в суд с заявлением о признании недействительной сделкой соглашения о зачёте встречных однородных требований от 31.01.2019 № 1, заключенного между должником, компанией и обществом с ограниченной ответственностью «Производственно-коммерческая фирма «Янтарь-2»; применении последствий недействительности сделок. Определением Арбитражного суда Брянской области от 04.03.2021, оставленным без изменения постановлениями Двадцатого арбитражного апелляционного суда от 21.09.2021 и Арбитражного суда Центрального округа от 27.12.2021,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 Гражданского кодекса Российской Федерации, статьями 19, 61.1, 61.2, 61.4 Федерального закона от 26.10.2002 № 127-ФЗ «О несостоятельности (банкротстве)», исходили из доказанности совокупности условий для признания недействительной оспариваемой сделки, совершенной в период подозрительности заинтересованными лицами со злоупотреблением правом и причинившей имущественный вред независимым кредиторам в связи с внеочередным погашением обязательств должника перед заявителем, а также утратой должником ликвидной дебиторской задолженности. Выводы суды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Управляющей компании «Агат»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