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24.06.2021, оставленным без изменения постановлениями Двенадцатого арбитражного апелляционного суда от 13.10.2021 и Арбитражного суда Поволжского округа от 01.02.2022, в удовлетворении заявленных требований отказано. В кассационной жалобе предприниматель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налогоплательщик, обращаясь в арбитражный суд, ссылался на невозврат налоговым органом переплаты по земельному налогу, о которой ему стало известно из постановления Арбитражного суда Поволжского округа от 16.06.2020 по делу № А57- 10152/2019. Решением управления от 29.10.2020 жалоба предпринимателя на действия (бездействие) должностных лиц инспекции оставлена без удовлетворения. Оценив представленные доказательства, руководствуясь положениями Налогового кодекса Российской Федерации, учитывая правовую позицию, изложенную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суды не усмотрели оснований для удовлетворения заявленных требований. Отказывая в удовлетворении заявления предпринимателя, суд первой инстанции исходил из отсутствия переплаты по земельному налогу за 2014 год, при этом признал, что трехлетний срок для обращения в суд с настоящим заявлением об обязании инспекции возвратить переплату по земельному налогу предпринимателем не пропущен. Суд апелляционной инстанции, отметив отсутствие переплаты по спорному налогу, пришел к выводу о пропуске срока для обращения в суд с настоящим заявлением, который не подлежит восстановлению, указав, что наличие судебного акта по делу № А57-10152/2019 от 15.06.2020 не пресекает течение трехлетнего срока; налогоплательщик обязан самостоятельно вести учет начисленных и уплаченных сумм; предприниматель имел возможность определить суммы к возврату путем соотнесения уплаченных и взысканных сумм с суммами, подлежащими уплате с учетом исправления ошибок по определению налоговой базы ввиду исправления кадастровой стоимости. Суд округа поддержал данные выводы суда апелляционной инстанции. Кроме того, суды пришили к выводу о том, что решение управления не может быть самостоятельным предметом оспаривания в суде, поскольку оно не 3 является новым решением и не дополняет решение инспекции об отказе в возврате излишне оплаченного земельного налога за 2014 год, выраженное в письме от 18.09.2020 № 09-06/16903. Доводы предпринимателя, изложенные в кассационной жалобе, являлись предметом рассмотрения судов и получили надлежащую правовую оценку,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направлены на переоценку доказательств и установление по делу иных фактических обстоятельств.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Замараеву Вячеславу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