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предприниматель обратился в суд с заявлением о включении в реестр требований кредиторов должника (далее – реестр) его требования в размере 11 829 468 рублей 75 копеек основного долга и 20 200 000 рублей неустойки. Определением Арбитражного суда Свердловской области от 17.06.2021, оставленным без изменения постановлениями Семнадцатого арбитражного апелляционного суда от 05.10.2021 и Арбитражного суда Уральского округа от 29.12.2021, требование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включении его требования в третью очередь реестра. Доводов относительно законности обжалуемых судебных актов в части наличия спорной задолженности и её размера поданная заявителем кассационная жалоба не содержит, заявитель не согласен с установленной судами очерёдностью удовлетворения его требования.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71, 100, 142 Федерального закона от 26.10.2002 № 127-ФЗ «О несостоятельности (банкротстве)», пунктами 3.1 – 3.3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установив факт предоставления заявителем, входившим с должником в одну группу лиц, компенсационного финансирования в ситуации имущественного кризиса последнего, требование о возврате которого не может конкурировать с требованиями иных независимых кредиторов, обоснованно признали его подлежащим удовлетворению в очерёдности, предшествующей распределению ликвидационной квоты. Выводы судов в обжалуемой заявителем части соответствуют нормам права, оснований для переоценки выводов судов по доводам жалобы не имеется. Существенных нарушений норм материального и (или) норм процессуального права, которые бы повлияли на исход судебного разбирательства, ссудами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Шалину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