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03.06.2021, оставленным без изменения постановлением Девятого арбитражного апелляционного суда от 16.08.2021 и постановлением Арбитражного суда Московского округа от 16.12.2021, с общества в пользу компании взыскано 1 822 448 руб. неосновательного обогащения, 4 766 003 руб. 98 коп. убытков, 55 942 руб. судебных расходов на уплату государственной пошлины, в удовлетворении остальной части судебных расходов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выводов судов фактическим обстоятельствам дела, просит отменить указанные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(подрядчик) в пользу общества (субподрядчик) денежных средств по договору субподряда от 17.07.2019 № П/Б6, его прекращения, невыполнения обществом работ на спорную сумму, наличия в выполненных обществом работах недостатков, которые им не устранены, принимая во внимание экспертное заключение, в котором определена стоимость восстановительно-ремонтных работ, необходимых для устранения недостатков, руководствуясь статьями 309, 310, 702, 708, 715, 740, 1102 Гражданского кодекса Российской Федерации, суды первой и апелляционной инстанций признали обоснованными требования компании о взыскании с общества неосновательного обогащения и убытков.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«ДЖИЭНДЖИ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