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06.05.2021, оставленным без изменения постановлением Третьего арбитражного апелляционного суда от 23.08.2021 с учетом дополнительного постановления от 07.10.2021, постановлением Арбитражного суда Восточно-Сибирского округа от 16.12.2021, исковое заявление удовлетворено частично, с общества в польщу учреждения взыскано 1 000 000 рублей неустойки. В удовлетворении остальной части искового требования отказано. 2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25.09.2018 учреждением (заказчик) и обществом (поставщик) заключен государственный контракт № 532-02-18/Ф.2018.455379 на поставку товара (медицинская мебель). Согласно пункту 1.3 контракта поставка включает обязательство поставщика по упаковке, маркировке, погрузке, доставке, хранению, разгрузке, сборке, расстановке и креплению в помещениях, подключению к инженерным сетям и вводу оборудования в эксплуатацию, утилизации упаковочного материала. Общество поставило товар по акту сдачи-приемки от 31.10.2019, оплата товара произведена учреждением 12.11.2019 платежными поручениями № 314966, № 314967, № 314968, № 314969. В связи с наличием недостатков поставленного товара - медицинских кроватей PROMA, заказчик 10.03.2020, 02.04.2020, 23.04.2020 направил поставщику требования об исполнении гарантийного обязательства, предоставлении аналогичного товара на время устранения недостатков. Требование от 23.04.2020 получено обществом 06.05.2020. Недостатки товара устранены обществом 26.10.2020, о чем больница сообщила учреждению письмом от 20.01.2021 № 26.4/11.3-15/65. Ссылаясь на просрочку исполнения гарантийного обязательства, учреждение обратилось в арбитражный суд. Рассматривая спор, суды первой и апелляционной инстанций, исследовав и оценив представленные в материалы дела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наличии оснований для взыскания с ответчика неустойки, уменьшив ее размер с учетом положений статьи 333 Гражданского кодекса до 1 000 000 рублей, с чем согласился суд округа. 3 Суды указали, что при поставке медицинской мебели общество, специализирующееся на торговле медицинскими изделиями, действуя с должной степенью осмотрительности и добросовестности, должно было предвидеть, что при возникновении необходимости в исполнении гарантийных обязательств по замене установленного некачественного товара доступ к нему может быть осложнен. Доказательств предоставления аналогичного товара в соответствии с пунктом 5.4 контракта ответчиком не представлено.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«Искра-Мед»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