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02.06.2021, оставленным без изменения постановлением Девятого арбитражного апелляционного суда от 16.09.2021 и постановлением Арбитражного суда Московского округа от 13.12.2021, первоначальные исковые требования удовлетворены в части взыскания с общества в пользу компании 2 335 818 руб. 78 коп. задолженности, 2 в удовлетворении остальной части первоначальных требований и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встречного иска и частичном удовлетворении первоначальных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аренды, установив факт ненадлежащего исполнения обществом (арендатор) обязательств по внесению арендных платежей и расходов на содержание территории в заявленный период, исключив из расчета задолженности суммы гарантийного депозита и обеспечительного платежа, принимая во внимание, что договор аренды расторгнут соглашением сторон, надлежащих доказательств обращения общества к компании с предложением об изменении размера арендной платы в период действия договора, а также уклонения последней от их внесения, не представлено, руководствуясь статьями 309, 310, 421, 431 Гражданского кодекса Российской Федерации, положениями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ситуаций», суды первой и апелляционной инстанций пришли к выводу о наличии оснований для частичного удовлетворения первоначальных исковых требований и отказа в удовлетворении встречного иска.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3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«Фудсервис»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