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поданной посредством почтовой связи,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4.01.2022, на момент обращения общества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государственного регулирования цен и тарифов Амур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