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10.02.2021 первоначальные исковые требования удовлетворены частично, с общества в пользу компании взыскано 5 656 544 руб. 13 коп. неосновательного обогащения, в удовлетворении остальной части первоначального иска и в удовлетворении встречного иска отказано. Постановлением Девятого арбитражного апелляционного суда от 13.09.2021 решение суда первой инстанции оставлено без изменения, производство по апелляционной жалобе Сало Андрея Александровича (далее – Сало А.А.) прекращено. Постановлением Арбитражного суда Московского округа от 22.12.2021 производство по кассационной жалобе Сало А.А. прекращено, решение суда 2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 экспертизы, проанализировав условия спорного договора, принимая во внимание обстоятельства, установленные вступившим в законную силу решением Арбитражного суда города Москвы от 13.09.2019 № А40-158785/2019, проверив представленные сторонами расчеты и произведя перерасчет завершающей обязанности сторон, руководствуясь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суды первой и апелляционной инстанций пришли к выводу о наличии оснований для частичного удовлетворения первоначального иска и отказа в удовлетворении встречных требований, с чем впоследствии согласился суд округа. Прекращая производство по апелляционной и кассационной жалобам Сало А.А., апелляционный и окружной суды руководствовались статьями 42, 150 Арбитражного процессуального кодекса Российской Федерации и исходили из отсутствия у данного лица права на обжалование решения суда первой инстанции, поскольку из судебного акта не следует, что он принят о его правах и обязанностях.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 существу они направлены на переоценку установленных фактических обстоятельств, что не входит в полномочия суда при кассационном производстве.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«Н-Энергия»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