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04.06.2021, оставленным без изменения постановлением Десятого арбитражного апелляционного суда от 07.09.2021 и постановлением Арбитражного суда Московского округа от 29.12.2021, заявление Межрайонной ИФНС России № 22 по Московской области признано обоснованным, в отношении должника введена процедура реструктуризации долгов гражданина, требования заявителя включены в третью очередь реестра, утвержден финансовый управляющий. В кассационной жалобе Савосько Е.А. просит об отмене судебных актов, ссылаясь на неизвещение о рассмотрении дела о банкротстве, о котором узнала при визите к нотариусу, приведшее к невозможности представить возражения в отношении размера требования, непривлечение к участию в деле органа опеки.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Извещение заявителя о начавшемся процессе по месту регистрации установлено судами и подтверждается указанием адреса регистрации в резолютивной части определения суда первой инстанции и своевременной подачей должником апелляционной жалобы. Привлечение к участию в деле органа опеки и попечительства не утрачено и неучастие такового в рассмотрении заявления о признании банкротом не влечет отмены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Савосько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