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Москвы от 20.07.2021 в удовлетворении искового требования отказано. Постановлением Девятого арбитражного апелляционного суда от 05.10.2021, оставленным без изменения постановлением Арбитражного суда Московского округа от 24.01.2022, решение суда первой инстанции отменено, исковое заявление удовлетворено частично, с учреждения в пользу общества взыскано 10 376 014 рублей 32 копейки неустойки.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апелляционного суда и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26.12.2012 учреждением (заказчик) и обществом (исполнитель) заключены договоры на выполнение работ по санитарному содержанию и текущему ремонту общего имущества многоквартирных домов в районе Хорошево-Мневники города Москвы. Общество выполнило работы по спорным договорам на общую сумму 233 861 738 рублей 65 копеек, работы оплачены учреждением на сумму 166 860 718 рублей 33 копейки. Решением Арбитражного суда города Москвы по делу № А40-68062/2014 с учреждения в пользу общества взыскано 53 780 309 рублей 22 копейки основного долга. В соответствии с пунктом 7.2 договоров за просрочку оплаты обществом начислена неустойка в размере 29 858 689 рублей 98 копеек. Обществом и ООО «Эльтон» 14.01.2016 заключен договор цессии № 01/16, по условиям которого к ООО «Эльтон» перешло право (требование) получения с учреждения неустойки за просрочку оплаты работ по спорным договорам, а также иные связанные с указанным требованием права. Решением Арбитражного суда города Москвы от 15.03.2018 по делу № А40-28681/2016 с учреждения в пользу ООО «Эльтон» (цессионарий) взыскана неустойка в размере 26 212 833 рублей 19 копеек. Определением Арбитражного суда города Москвы от 26.09.2018 по делу № А40-33418/2017 договор цессии от 14.01.2016 № 01/16 признан недействительным, применены последствия недействительности сделки. Постановлением Девятого арбитражного апелляционного суда от 18.02.2019 по делу № А40-28681/2016 в удовлетворении ходатайства конкурсного управляющего общества о процессуальном правопреемстве отказано. При этом решение суда от 15.03.2018 по делу № А40-28681/2016 отменено и принят новый судебный акт об отказе в удовлетворении иска о взыскании неустойки. Указанные обстоятельства послужили основанием для обращения общества в арбитражный суд. Рассматривая спор, суд первой инстанции, руководствуясь статьями 58 , 196 , 199 , 200 , 207 , 307 - 310 , 329 , 330 , 702 , 753 Гражданского кодекса Российской Федерации (далее - Гражданский кодекс), учитывая разъяснения, изложенные в пункте 25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пришел к выводу об отсутствии оснований для взыскания с учреждения неустойки в связи с пропуском срока исковой давности. Отменяя решение суда, суд апелляционной инстанции, руководствуясь теми же положениями Гражданского кодекса, пришел к выводу о том, что обществом не пропущен срок исковой давности на взыскание задолженности. Судом установлено, что срок исковой давности по основному требованию не истек, что подтверждается судебным актом по делу № А40-68062/2014, которым с ответчика в пользу истца взыскано 53 780 309 рублей 22 копейки основного долга по оплате выполненных работ. Решение суда исполнено в принудительном порядке лишь 16.12.2018. Как указал суд, основное обязательство исполнено с просрочкой, но в пределах срока исковой давности, в связи с чем требование о взыскании неустойки подлежит удовлетворению в части, которая входит в трехлетний период, предшествующий дате предъявления иска о взыскании неустойки. Кроме того, определением Арбитражного суда города Москвы от 26.09.2018 по делу № А40-33418/2017 договор цессии признан недействительным с применением последствий недействительности сделки. Установив указанные обстоятельства, суд пришел к выводу об обоснованности заявленной неустойки за период с 13.01.2017 по 16.12.2018 в размере 10 376 014 рублей 32 копеек. Оснований для применения статьи 333 Гражданского кодекса не установлено. Доводы, изложенные в кассационной жалобе, являлись предметом рассмотрения судов апелляционной и кассационной инстанций, и получили надлежащую правовую оценку, не подтверждают существенных нарушений норм права, повлиявших на исход дела, основаны на ином толковании норм гражданского законодательства,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«Жилищник района Хорошево-Мневники»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"АПРЭО" (подробнее) Ответчики: ГОСУДАРСТВЕННОЕ БЮДЖЕТНОЕ УЧРЕЖДЕНИЕ ГОРОДА МОСКВЫ "ЖИЛИЩНИК РАЙОНА ХОРОШЕВО-МНЕВНИКИ" (подробнее) Иные лица: АО к/у "АПРЭО" - Акулов Е.Е. (подробнее) ООО "Эльтон" (подробнее) Префектура Северо-Западного административного округа города Москвы (подробнее) Судебная практика по: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