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Кузнецов М.В. обратился в суд с заявлением о включении в первую очередь текущих платежей задолженности в размере 225 899 рублей 01 копейка, возникшей в период исполнения им обязанностей временного управляющего должником в период с 23.04.2015 по 16.11.2015 по первому делу о несостоятельности (банкротстве) должника № А46-16351/2014, взысканных определением Арбитражного суда Омской области от 26.01.2016. Определением Арбитражного суда Омской области от 28.05.2021, оставленным без изменения постановлениями Восьмого арбитражного апелляционного суда от 30.08.2021 и Арбитражного суда Западно-Сибирского округа от 28.12.2021,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4, 5, 16, 100, 167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исходили из того, что возникшее до возбуждения настоящего (второго) дела о банкротстве должника требование заявителя является реестровым и впоследствии не может приобрести статус текущего обязательства.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Кузнецову Михаилу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