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10.01.2022, оставленным без изменения определением того же суда от 08.02.2022, в удовлетворении ходатайства общества о восстановлении срока подачи кассационной жалобы на определение Арбитражного суда Волгоградской области от 22.09.2021 отказано, жалоба возвращена. В кассационной жалобе общество просит отменить судебные акты окружного суда, ссылаясь на формальную оценку его позиции.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 оценил доводы общества в обоснование пропуска срока на обжалование и признал их не уважительными. Приводимые в рассматриваемой жалобе доводы не имеют отношения к существу обжалуемых судебных актов, принятых в отношении срока на обжалование, а не спорных правоотношений.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«Кортева Агрисаенс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