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Тюменской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«Вторресурс» (далее – Общество) о взыскании 16 483 395 рублей 67 копеек действительной стоимости доли. К участию в деле в качестве третьего лица, не заявляющего самостоятельных требований относительно предмета спора, привлечена ФИО2. Решением Арбитражного суда Тюменской области от 02.07.2021, оставленным без изменения постановлением Восьмого арбитражного апелляционного суда от 12.10.2021 и постановлением Арбитражного суда Западно-Сибирского округа от 14.01.2022,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заключение судебной экспертизы, проведенной в рамках настоящего спора, не соответствует требованиям законодательства; судебными актами по делам № А70-13765/2015, А70-5433/2020 установлено, что Обществу судна не были переданы; выводы судов об осведомленности ответчика о месте нахождения имущества являются ошибочными; доля ФИО1 увеличена с 50% до 90% в результате совершенного им преступления, то есть истец не вкладывал за счет собственных средств 40% капитала; суды не дали оценку действия истца по зачету встречных требований.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06.05.1994 в Единый государственный реестр юридических лиц внесена запись о создании Общества, одним из участников которого с долей в уставном капитале в размере 90% являлся ФИО1 Истцом Обществу направлено нотариально заверенное заявление от 05.04.2019 о выходе из состава участников юридического лица и выплате действительной стоимости доли. Заявление получено ответчиком 09.04.2019. Поскольку до настоящего времени Общество не выполнило обязанность по выплате действительной стоимости доли, ФИО1 обратился в арбитражный суд с соответствующими требованиями. Исследовав, оценив по правилам статьи 71 АПК РФ представленные доказательства, руководствуясь статьей 94 Гражданского кодекса Российской Федерации, статьями 23 ,26 Федерального закона от 08.02.1998 № 14-ФЗ «Об обществах с ограниченной ответственностью», приняв во внимание разъяснения, изложенные в постановлении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суды удовлетворили заявленные требования, констатировав, что у Общества в связи с выходом ФИО1 из состава участников юридического лица возникла неисполненная надлежащим образом обязанность по выплате действительной стоимости доли, размер которой определен на основании заключения эксперта, признанного надлежащим доказательством по делу. Установив размер чистых активов общества (20 843 000), учитывая размер доли истца (90% уставного капитала общества), суды пришли к выводу о наличии оснований для взыскания в пользу истца 16 483 395 руб.67 коп. (за вычетом принятых ФИО1 зачетов на сумму 2 275 304 руб. 33 коп.) Отклоняя ссылку о неправомерности произведенного зачета, суды указали, что истец просил взыскать 16 483 395 руб.67 коп. за вычетом принятых им зачетов на сумму 2 275 304 руб.33 коп., истец вправе уменьшить заявленную к взысканию сумму. Доводы заявителя о том, что стоимость чистых активов определена экспертом с учетом формально существующего имущества, которого фактически нет; судебными актами по делам №А70-13765/2015, №А70-5433/2020 установлено, что судна обществу не переданы; наличие информации о месте нахождения имущества само по себе не свидетельствует об обладании им, были предметом рассмотрения апелляционного суда и получили надлежащую оценку. Доводы кассационной жалобы, которые были предметом рассмотрения судебных инстанций,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21.02.2022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 . 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«Вторресурс»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«Вторресурс» в доход федерального бюджета 3 000 (три тысячи) рублей госпошлины за подачу кассационной жалобы. Арбитражному суду Тюменской области выдать исполнительный лист. Судья Верховного Суда Российской Федерации Н.С.Чучунова Суд: Верховный Суд РФ (подробнее) Ответчики: ООО "Вторресурс" (подробнее) Иные лица: 8ААС (подробнее) Арбитражный суд Западно-Сибирского округа (подробнее) ИФНС России по г.Тюмени №3 (подробнее) ООО "ЭКО-Н" (подробнее) ООО "ЭКО-Н сервис" (подробнее) УФМС России по Тюменской области (подробнее) Последние документы по делу: Определение от 15 апреля 2022 г. по делу № А70-14363/2020 Определение от 21 февраля 2022 г. по делу № А70-14363/2020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