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Соловьёв Максим Вячеславович обратился в суд с заявлением о признании недействительной сделки по безакцептному списанию со счёта должника денежных средств в пользу Сафрония О.Т. в общем размере 665 114 рублей 22 копейки, применении последствий недействительности сделки. Определением Арбитражного суда города Москвы от 28.01.2021, оставленным без изменения постановлениями Девятого арбитражного апелляционного суда от 10.11.2021 и Арбитражного суда Московского округа от 27.01.2021,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пункта 2 статьи 61.3, пунктом 2 статьи 61.4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исходили из доказанности совокупности условий для признания недействительной сделкой оспариваемого безакцептного списания денежных средств с расчётного счёта должника, совершённого после принятия судом заявления о признании должника банкротом за пределами обычной хозяйственной деятельности и повлекшего за собой оказание заявителю предпочтения в удовлетворении его требований перед иными кредиторами. Выводы судов соответствуют нормам права, оснований для переоценки этих выводов не имеется. Существенных нарушений норм материального права, а также норм процессуального права,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Сафронию Олегу Тарасовичу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