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Пермского края от 03.02.2021, оставленным без изменения постановлением Семнадцатого арбитражного апелляционного суда от 30.06.2021 и постановлением Арбитражного суда Уральского округа от 10.12.2021, первоначальный иск удовлетворен в части взыскания 15 000 рублей неустойки, встречный иск удовлетворен; в результате зачета с общества «МКК» взыскано 35 000 рублей задолженности и 99 439 рублей 44 копейки судебных расходов. В кассационной жалобе общество «МКК» просит о пересмотре судебных актов, ссылаясь на процессуальные нарушения суда первой инстанции, не получившие оценки в апелляционном и окружном судах.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Довод заявителя о подлоге объекта экспертного исследования рассмотрен окружным судом, оценен им в соответствии с компетенцией, предусмотренной статьями 286 , 287 Арбитражного процессуального кодекса Российской Федерации. Этот довод как относящийся к доказательной стороне спора не попадает под основания для пересмотра судебных актов на стадии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«МКК»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"АГЕНТСТВО ИНТЕРНЕТ КОММУНИКАЦИЙ" (подробнее) ООО "МКК" (подробнее) Ответчики: ООО "АГЕНТСТВО ИНТЕРНЕТ КОММУНИКАЦИЙ" (подробнее) ООО "МКК" (подробнее) Судьи дела: Ксенофонтова Н.А.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