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договоров займа, заключенных должником с заёмщиками – обществами с ограниченной ответственностью «Сфера», «РНК», «РБК-Р», «Техносфера», Патриным Борисом Васильевичем; применении последствий недействительности сделок. Определением Арбитражного суда Московского области от 15.07.2021, оставленным без изменения постановлениями Десятого арбитражного апелляционного суда от 04.10.2021 и Арбитражного суда Московского округа от 23.12.2021,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фактов причинения вреда имущественным правам кредиторов, аффилированности сторон, наличия у оспариваемых сделок (часть из которых совершена за пределами периода подозрительности) пороков, выходящих за пределы дефектов подозрительных сделок,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«НИФК» Нечаеву Павлу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