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Удмуртской Республики от 09.07.2021, оставленным без изменения постановлением Семнадцатого арбитражного апелляционного суда от 14.10.2021 и постановлением Арбитражного суда Уральского округа от 24.01.2022, в удовлетворении ходатайства отказано В кассационной жалобе финансовый управляющий просит об отмене судебных актов, ссылаясь на отсутствие правовой оценки доказательствам, представленным в обоснование требования.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требование управляющего необоснованным и недоказанным применительно к требованиям статей 20.3, 215.5, 213.9 Федерального закона от 26.10.2002 № 127-ФЗ «О несостоятельности (банкротстве)» и их судебного толкования и статей 1, 10 Гражданского кодекса Российской Федерации. Приводимые в жалобе доводы рассмотрены, учтены судами и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Курочкину А.А.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