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«ГалоПолимер Пермь» (далее - Общество), обратилось в Арбитражный суд города Санкт-Петербурга и Ленинградской области с иском к обществу с ограниченной ответственностью «Форвард транс сервис» (далее - компания) о взыскании 289 816 руб. 80 коп. убытков в виде стоимости утраченного продукта «хладон-22» в количестве 2,1 тонны и 20 000 руб. расходов на проведение экспертизы. Компания предъявила встречный иск о взыскании с общества 7064 евро долга по курсу Банка России на день его уплаты по договору аренды танк-контейнеров от 01.03.2018 № ФТС 11/18 АД, а также 1 118 450 руб. Арбитражный суд города Санкт-Петербурга и Ленинградской области определением от 20.08.2021, оставленным без изменения постановлением Тринадцатого арбитражного апелляционного суда от 07.11.2021, возвратил встречный иск компании. Постановлением Арбитражного суда Северо-Западного округа от 13.01.2022 определение суда первой инстанции и постановление суда апелляционной инстанции отменены, встречный иск компании направлен в Арбитражный суд города Санкт-Петербурга и Ленинградской области для решения вопроса о принятии его к производству. В кассационной жалобе, поданной в Верховный Суд Российской Федерации, общество, ссылаясь на нарушение судом округа норм права, 2 просит отменить постановление от 13.01.2022 и направить дело на новое рассмотрение в Арбитражный суд Северо-Западного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обжалуемого судебного акта и доводов кассационной жалобы не установлено. Отменяя определение суда первой инстанции, постановление суда апелляционной инстанции и направляя вопрос о принятии встречного иска к производству, суд округа руководствовался положениями статьи 132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23.12.2021 № 46 «О применении Арбитражного процессуального кодекса Российской Федерации при рассмотрении дел в суде первой инстанции», и исходил из того, что у судов отсутствовали основания для возврата встречного иска компании, поскольку он направлен к зачету первоначального требования, между исками имеется взаимная связь. Изложенные в кассационной жалобе доводы не свидетельствуют о наличии существенных нарушений судом норм материального права и (или) процессуального права и не могут служить достаточными основаниями для отмены обжалуемого судебного акта.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«ГалоПолимер Пермь»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