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Московской области от 05.04.2021 и постановление Десятого арбитражного апелляционного суда от 16.11.2021 по делу № А41-83224/2019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