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05.08.2021, оставленным без изменения постановлением Одиннадцатого арбитражного апелляционного суда от 11.10.2021 и постановлением Арбитражного суда Поволжского округа от 14.01.2022, срок на подачу заявления о включении требования в реестр восстановлен, требование банка в размере 1 116 034 рублей 74 копеек основного долга и 521 рубля 39 копеек неустойки включено в третью очередь реестра как обеспеченное залогом имущества должника, из конкурсной массы исключены денежные средства в размере величины прожиточного минимума, в исключении 3/4 долей квартиры отказано. 2 В кассационной жалобе Александров А.Н. просит о пересмотре судебных актов, ссылаясь на незаконное восстановление срока для включения требования в реестр и погашение долга перед 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Срок восстановлен судами в соответствии со статьями 213.8, 213.24 Федерального закона от 26.10.2002 № 127-ФЗ «О несостоятельности (банкротстве)» и их судебным толкованием. Погашение долга после принятия судебных актов не влечет их пересмотра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Александрову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