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27.08.2021, оставленным без изменения постановлением Пятнадцатого арбитражного апелляционного суда от 27.10.2021, общество привлечено к административной ответственности по части 2 статьи 14.57 Кодекса Российской Федерации об 2 административных правонарушениях и ему назначено наказание в виде штрафа в размере 50 000 рублей. Постановлением Арбитражного суда Северо-Кавказского округа от 26.01.2022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необоснованными, в удовлетворении требований отказать.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14.57 Кодекса Российской Федерации об административных правонарушениях предусмотрена ответственность за совершение кредитором или лицом, действующим от его имени и (или) в его интересах (за исключением кредитных организаций), действий,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задолженности, за исключением случаев, предусмотренных частью 2 настоящей статьи, - влечет 3 наложение административного штрафа на юридических лиц - от двадцати тысяч до двухсот тысяч рублей. В силу части 2 статьи 14.57 Кодекса Российской Федерации об административных правонарушениях нарушение, предусмотренное частью 1 настоящей статьи, совершенное юридическим лицом, включенным в государственный реестр юридических лиц, осуществляющих деятельность по возврату просроченной задолженности в качестве основного вида деятельности, влечет наложение штрафа на юридических лиц - от пятидесяти тысяч до пятисот тысяч рублей или административное приостановление деятельности на срок до девяноста суток. Оценив представленные доказательства, руководствуясь положениями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суды пришли к выводу о наличии в действиях общества состава правонарушения, ответственность за совершение которого предусмотрена частью 2 статьи 14.57 Кодекса Российской Федерации об административных правонарушениях, установив, что в направленном обществом должнику текстовом сообщении отсутствуют сведения о просроченной задолженности, при этом должнику уведомление об уступке права требования обществу как новому кредитору не направлялось. Вина общества состоит в том, что им не были приняты все необходимые и достаточные меры для соблюдения законодательства о защите прав и законных интересов физических лиц при осуществлении деятельности по возврату просроченной задолженности. Процедура и срок давности привлечения к ответственности соблюдены. Оснований для признания правонарушения малозначительным и применения положений статьи 2.9 Кодекса Российской Федерации об административных правонарушениях не установлено. 4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