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07.06.2021, оставленным без изменения постановлением Девятого арбитражного апелляционного суда от 18.08.2021 и постановлением Арбитражного суда Московского округа от 20.12.2021, заявление удовлетворено. В кассационных жалобах заявители просят об отмене судебных актов, ссылаясь на необходимость понижения очередности требования (Автономов В.В.) и неосновательность признания преюдиции решения суда общей юрисдикции (ООО «УК «Плющиха»).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 обоснованность и подтвержденность требования применительно к критериям статей 71, 100 Федерального закона от 26.10.2002 № 127-ФЗ «О несостоятельности (банкротстве)» и их судебному толкованию и применению. Позиция о понижении очередности неприменима в банкротстве гражданина. Судебный акт суда общей юрисдикции о взыскании задолженности с должника в пользу кредитора, заявившего рассматриваемое требование, оценен в соответствии со статьей 69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Автономову Вячеславу Валентиновичу и ООО «УК «Плющиха»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