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платежа, оформленного платёжным поручением от 31.08.2016 № 1150. Определением Арбитражного суда города Москвы от 30.04.2021, оставленным без изменения постановлениями Девятого арбитражного апелляционного суда от 12.08.2021 и Арбитражного суда Московского округа от 20.12.2021, отказано в удовлетворении заявления. В кассационных жалобах, поданных в Верховный Суд Российской Федерации, заявители просят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10, 168, 195, 197 и 199 Гражданского кодекса Российской Федерации, статьи 61.2 Федерального закона от 26.10.2002 № 127-ФЗ «О несостоятельности (банкротстве)», пришли к выводу о недоказанности наличия причин для удовлетворения требований по заявленным основаниям и пропуска срока исковой давности, что является самостоятельным основанием для отказа в удовлетворении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«Объединенная строительная группа» Еникееву Фидану Фаритовичу и закрытому акционерному обществу «Стройпутьинвест»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