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Мурманской области от 27.05.2021, оставленным без изменения постановлением Тринадцатого арбитражного апелляционного суда от 10.09.2021, заявленные требования оставлены без удовлетворения. Постановлением Арбитражного суда Северо-Западного округа от 19.01.2022 указанные судебные акты оставлены без изменения. В кассационной жалобе, поступившей в Верховный Суд Российской Федерации, заявитель просит отменить обжалуемые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оценив представленные в материалы дела доказательства и установив, что хозяйственные операции общества по приобретению товарно-материальных ценностей у общества с ограниченной ответственностью «СК «Мурман» (далее – контрагент 1) и аренде строительной техники с механизатором у общества с ограниченной ответственностью 3 «Интегро» (далее – контрагент 2) не отвечают признакам реальности и направлены на получение необоснованной налоговой выгоды, руководствуясь положениями статьей 169, 171, 172, 247, 252 Налогового кодекса Российской Федерации, постановлением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правомерности оспариваемого решения инспекции. При этом суды установили, что в представленных первичных документах содержатся недостоверные сведения, указанные контрагенты имеют признаки организаций, зарегистрированных без цели осуществления реальной предпринимательской деятельности и фактического исполнения хозяйственных договоров, контрагенты не обладали необходимыми материальными ресурсами для осуществления соответствующей деятельности, движение денежных средств по счетам контрагентов носило транзитный характер, фактически был организован формальный документооборот, имитирующий спорные хозяйственные операции в целях получения обществом необоснованной налоговой выгоды.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суды пришли к выводу об отсутствии реального совершения обществом спорных хозяйственных операций с указанными контрагентами. На основании изложенного, суды отказали обществу в удовлетворении заявленных требований об оспаривании решения инспекции в соответствующей части. Обжалуя судебные акты в Верховный Суд Российской Федерации, заявитель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отсутствием реальных финансово-хозяйственных операций между обществом и указанными контрагентами. При этом суды установили создание формального документооборота, имитирующего 4 приобретение обществом товарно-материальных ценностей и аренду строительной техники у указанных контрагентов в целях получения необоснованной налоговой выгоды. Выводы судов об отсутствии реальности спорных хозяйственных операций основаны на представленных в дело доказательствах, которые были оценены судами в их совокупности и взаимосвязи с учетом установленных фактических обстоятельств дела. Доводы жалобы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