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 Югры от 01.06.2021, оставленным без изменения постановлением Восьмого арбитражного апелляционного суда от 09.09.2021 и постановлением 2 Арбитражного суда Западно-Сибирского округа от 16.12.2021, в удовлетворении исковых требований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заключенного сторонами договора, установив факт выполнения обществом работ, принятия их результата управлением, отсутствие доказательств оплаты со стороны последнего в полном объеме, суды первой и апелляционной инстанций пришли к выводу о наличии у ответчика задолженности в размере 2 357 028 руб. 36 коп. Вместе с тем, принимая во внимание, что управление предоставляло обществу материалы, при этом доказательств возврата последним давальческого материала на сумму 5 272 542 руб. 15 коп., как и доказательств, свидетельствующих об иной стоимости невозвращенного неиспользованного материала, не представлено, суды указали на наличие у сторон встречных однородных требований. Исходя из того, что общая стоимость невозвращенного материала превышает размер требований истца, руководствуясь статьями 8, 307, 407, 702, 704, 711, 713, 740, 746, 753 Гражданского кодекса Российской Федерации, суды отказали в удовлетворении исковых требований. Суд округа поддержал выводы судов первой и апелляционной инстанций. Приведенные в кассационной жалобе доводы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3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«Регион Строй Монтаж»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