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«РИТМ» удовлетворить. Срок подачи кассационной жалобы на решение Арбитражного суда Республики Коми от 28.04.2021, постановление Второго арбитражного апелляционного суда от 01.07.2021 и постановление Арбитражного суда Волго-Вятского округа от 14.10.2021 по делу № А29-14208/2020 восстановить. Судья Верховного Суда Российской Федерации Н.С. Чучунова Суд: Верховный Суд РФ (подробнее) Истцы: ООО "Ритм" (подробнее) Ответчики: ООО "Усинский городской информационный центр" (подробнее) Иные лица: ГУ ОПФ РФ по РК (подробнее) Управление федеральной налоговой службы по РК (подробнее) Судьи дела: Чучунова Н.С. (судья) (подробнее) Последние документы по делу: Определение от 14 апреля 2022 г. по делу № А29-14208/2020 Определение от 10 января 2022 г. по делу № А29-14208/2020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