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08.06.2021, оставленным без изменения постановлением Шестого арбитражного апелляционного суда от 01.09.2021 и постановлением Арбитражного суда Дальневосточного округа 2 от 10.12.2021, первоначальный иск удовлетворен в заявленном размере, в удовлетворении встречного иска отказано. В кассационной жалобе общество «Транссвязьтелеком» просит об отмене судебных актов, ссылаясь на необоснованность взимания гарантированного платежа при отсутствии пропущенного трафика.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 спорный период общество «Ростелеком» предоставляло услуги по организации функционирования всех согласованных точек доступа, и, руководствуясь статьями 309, 310, 401, 421, 779, 781 Гражданского кодекса Российской Федерации, статьями 18, 19 Федерального закона от 07.07.2003 № 126-ФЗ «О связи», признали отсутствие основания для освобождения ответчика от обязанности по оплате оказанных услуг и неустойки. Приводимые в жалобе доводы рассматривались и учитывались судами и не создают оснований для пересмотра судебных актов на стадии кассационного производства.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«Транссвязьтелеком»»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