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24.05.2021, оставленным без изменения постановлением Тринадцатого арбитражного апелляционного суда от 27.08.2021 и постановлением Арбитражного суда Северо-Западного округа от 15.12.2021, первоначальный иск удовлетворен частично, в удовлетворении встречного иска отказано. В кассационной жалобе общество просит об отмене судебных актов, ссылаясь на отсутствие доказательств выполнения предпринимателем договора и игнорирование судами его недействительности.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Суды установили, что стороны двусторонними актами констатировали исполнение договора, что исключает доводы о его мнимости. Юридическая сила договора не оказывает влияния на судьбу первоначального иска, поскольку основанием для взыскания задолженности явились двусторонние акты, являющиеся основанием к оплате услуг (статьи 779 , 783 Гражданского кодекс Российской Федерации).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«Морской Бриз»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"Морской бриз"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