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25.05.2021, оставленным без изменения постановлением Одиннадцатого арбитражного апелляционного суда от 29.07.2021 и постановлением Арбитражного суда Поволжского округа от 19.10.2021, заявление удовлетворено частично. В кассационной жалобе Микаелян А.Р. просит об отмене судебных актов, ссылаясь на игнорирование невозможности исключения части помещений, учитывая неизолированность и необособленность нежилых помещений, и выдела в натуре части земельного участка.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исключил из конкурсной массы помещения в жилом доме, отвечающие разумным и достаточным потребностям должника и членов его семьи в жилище. В вопросе возможности самостоятельного использования исключенной из конкурсной массы части дома суды руководствовались решением суда общей юрисдикции по иску кредитора должника об обращении взыскания на имущество и актом обследования органа опеки и попечительства. Выводы суда соответствуют статье 446 Гражданского процессуального кодекса Российской Федерации, статье 213.25 Федерального закона от 26.10.2002 № 127-ФЗ «О несостоятельности (банкротстве)», их толкованию и применению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Микаеляну Артуру Рубиковичу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