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29.01.2020 договор признан недействительным. Дополнительным определением Арбитражного суда города Москвы от 24.09.2021, оставленным без изменения постановлением Девятого арбитражного апелляционного суда от 23.11.2021 и постановлением Арбитражного суда Московского округа от 07.02.2022, применены последствия недействительности сделки в виде взыскания с Федосеевой Т.В. в конкурсную массу действительной стоимости спорного объекта в размере 8 055 000 рублей. В кассационных жалобах заявители просят об отмене судебных актов о применении последствий недействительности сделки, ссылаясь на отсутствие оснований для взыскания спорной суммы в условиях возвращения Федосеевой Т.В. спорного имущества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Из постановления окружного суда следует, что заявители при рассмотрении требования о применении последствий оспаривали стоимость земельного участка, подлежащего возврату в конкурсную массу, и суды не приняли довода о возможном возврате участка в конкурсную массу, учитывая нахождение его у лица, не являющегося стороной недействительной сделки. Состоявшийся после вступления в силу судебных актов возврат участка должнику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Кузовлеву Ярославу Вячеславовичу и Федосеевой Татьяне Вячеславовне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