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28.05.2021 взыскано 1 702 600 рублей задолженности, 300 600 рублей неустойки, 200 000 рублей штрафа, 40 000 рублей расходов на услуги представителя. Постановлением Девятого арбитражного апелляционного суда от 24.09.2021 решение суда изменено: взыскано 157 050 рублей неустойки. Постановлением Арбитражного суда Московского округа от 13.12.2021 постановление апелляционного суда отменено, решение оставлено в силе. В кассационной жалобе общество «ИПИФИЯ ЛЭБС» просит отменить решение и постановление окружного суда, ссылаясь на игнорирование отказа истца от договора после сдачи услуг, недоказанность неравноценности исполнения.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удовлетворил иск, установив допущение ответчиком просрочки оказания услуг против согласованного срока на 349 дней и возникновение у истца в силу статей 450.1, 779, 1102 Гражданского кодекса Российской Федерации в связи с таким нарушением права на отказ от принятия услуг и договора. В отсутствие у суда апелляционной инстанции оснований для иной оценки тех же доказательств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«ИПИФИЯ ЛЭБС»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