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Московской области от 13.05.2021, оставленным без изменения постановлением Десятого арбитражного апелляционного суда от 03.08.2021, в удовлетворении заявления отказано. Арбитражный суд Московского округа постановлением от 13.12.2021, отменив определение от 13.05.2021 и постановление апелляционного суда от 03.08.2021, направил спор на новое рассмотрение в Арбитражный суд Московской области. В кассационной жалобе Ахметшина В.Р. просит об отмене постановления окружного суда, ссылаясь на установление нижестоящими судами необходимых для разрешения спора обстоятельств и превышение судом округа полномочий при их пересмотре.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Окружной суд установил, что суды нижестоящих инстанций не исследовали источников поступления денежных средств, уплаченных за квартиру, и не оценили использование квартиры должником и ответчиком после ее отчуждения, имеющих значение для определения юридической силы сделок, поэтому признал необходимость нового рассмотрения заявления судом первой инстанции в соответствии с имеющейся в силу статей 286, 287 Арбитражного процессуального кодекса Российской Федерации компетенцией.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Ахметшиной В.Р.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