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01.09.2021, оставленным без изменения постановлением Двенадцатого арбитражного апелляционного суда от 17.11.2021 и постановлением Арбитражного суда Поволжского округа от 03.02.2022, в удовлетворении заявления отказано. В кассационной жалобе Ларина Т.А. просит об отмене судебных актов, ссылаясь на неправомерное принятие дополнительных доказательств судом апелляционной инстанции, неправильное толкование и применение норм семейного законодательства и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части 1 статьи 268 Арбитражного процессуального кодекса Российской Федерации апелляционный суд повторно рассматривает дело по имеющимся и дополнительно представленным доказательствам, вследствие чего действия суда, принявшего к рассмотрению письменные пояснения заинтересованного лица, процессуальным нарушением не является. Суды, установив представление обязанным лицом информации и неуказание управляющим на конкретные истребуемые сведения, руководствуясь статьями 20.3, 213.9 Федерального закона от 26.10.2002 № 127-ФЗ «О несостоятельности (банкротстве)», признали требование не подлежащим удовлетворению.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Лариной Т.А.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