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Тульской области от 26.02.2021, оставленным без изменения постановлением Двадцатого арбитражного апелляционного суда от 16.08.2021 и постановлением Арбитражного суда Центрального округа от 20.12.2021, с общества в пользу компании взыскано 320 002 руб. долга, 125 931 руб. 27 коп. неустойки, 10 519 руб. 52 коп. в возмещение расходов по уплате государственной пошлины, в удовлетворении остальной части требований отказано. В кассационной жалобе, поданной в Верховный Суд Российской Федерации, общество, ссылаясь на незаконность указанных судебных актов, просит их отменить и принять новый судебный акт об отказе в удовлетворении исковых требований.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заключенного сторонами договора, признав подтвержденным факт ненадлежащего исполнения обществом (заказчик) обязательств по оплате оказанных компанией (исполнитель) услуг, проверив и скорректировав представленный компанией расчет задолженности и неустойки, руководствуясь статьями 309, 310, 329, 330, 779, 781 Гражданского кодекса Российской Федерации, суды первой и апелляционной инстанций пришли к выводу о наличии оснований для частичного удовлетворения исковых требований, с чем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«Привлечение клиентов»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