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16.07.2021, оставленным без изменения постановлением Девятого арбитражного апелляционного суда от 15.09.2021 и постановлением Арбитражного суда Московского округа от 13.12.2021, взыскано 135 000 рублей задолженности, 30 000 рублей аванса. В кассационной жалобе общество просит об отмене судебных актов, ссылаясь на неправильное применение норм права, ненадлежащую оценку доказательств, нарушение правил подсудности.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Исследовав обстоятельства исполнения сторонами договора и применив к ним статьи 779, 781 Гражданского кодекса Российской Федерации, суды признали недоказанность оказания обществом услуг на полученную сумму. Вопросы подсудности разрешаются судом первой инстанции и, установив отсутствие довода о ней в апелляционной жалобе, окружной суд правомерно такой довод отклонил. Приводимые в жалобе доводы рассматривались и учитывались судами и не создают оснований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«ФинЭксперт»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