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24.06.2021, оставленным без изменения постановлением Девятого арбитражного апелляционного суда от 30.09.2021 и постановлением Арбитражного суда Московского округа от 23.12.2021, в удовлетворении заявления отказано. В кассационной жалобе Емельянов М.А. просит отменить судебные акты, ссылаясь на несоответствие выводов судов фактическим обстоятельствам спора и неосновательное неприменение к оспариваемой сделке статей 10, 168 Гражданского кодекса Российской Федерации.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оценив обстоятельства совершения сделок, установили заключение брачного договора от 01.09.2014 за пределами периода подозрительности, указанного в пункте 2 статьи 61.2 Федерального закона от 26.10.2002 № 127-ФЗ «О несостоятельности (банкротстве)», и отсутствие доказательств, подтверждающих наличие у спорного договора пороков, выходящих за предусмотренные законодательством о банкротстве пределы. Доводы жалобы сводятся к иной оценке обстоятельств заключения сделки и не составляют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Емельянову М.А.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