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15.12.2020, оставленным без изменения постановлением Двенадцатого арбитражного апелляционного суда от 11.08.2021 и постановлением Арбитражного суда Поволжского округа от 17.12.2021, в удовлетворении иска отказано. В кассационной жалобе общество «Константа-2» просит об отмене судебных актов, ссылаясь на нарушение в исследовании и оценке доказательств, придание приоритета доказательствам ответчика, игнорирование противоречий и несоответствий в выводах эксперта, несоответствие выводов судов условиям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условиями договора от 19.04.2019 № 1-2019/2228 и статьями 720, 721, 723, 753, 781, 782, 1102 Гражданского кодекса Российской Федерации, суды по итогу исследования доказательств установили выполнение ответчиком работ по договору на спорную сумму без существенных нарушений и отсутствие оснований для ее взыскания в качестве неосновательного обогащения. Приведенные в жалобе доводы рассмотрены и учтены судами, касаются доказательной стороны дела и не создают оснований для пересмотра судебных актов на стадии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«Константа-2»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