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24.06.2021, оставленным без изменения постановлением Одиннадцатого арбитражного апелляционного суда от 05.10.2021, требование Болтикова В.А. в размере 2 878 622 рублей 27 копеек признано обоснованным и включено в третью очередь реестра. Постановлением Арбитражного суда Поволжского округа от 20.01.2022 решение и постановление апелляционной инстанции изменено: включено в реестр требование в размере 2 407 315 рублей. В кассационной жалобе банк просит об отмене судебных актов, ссылаясь на недоказанность финансовой состоятельности кредитора, аффилированность сторон, недействительность договора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как подтвержденное надлежащими доказательствами и соответствующее критериям статей 71, 100, 213.8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Приводимые в жалобе доводы рассмотрены и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«Агророс»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