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25.06.2021, оставленным без изменения постановлением Десятого арбитражного апелляционного суда от 13.09.2021 и постановлением Арбитражного суда Московского округа от 17.12.2021, в удовлетворении заявления отказано. В кассационной жалобе Крайчик М.Г. просит об отмене судебных актов, ссылаясь на несоответствие выводов судов фактическим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у должника отсутствуют иные, кроме заявителя, кредиторы, признали оспариваемые сделки не причинившими вреда, не противоречащими общегражданским нормам и законодательству о банкротстве, а требование об их устранении – не могущим восстановить права заявителя, учитывая распространение на имущество действия статьи 446 Гражданского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Крайчик М.Г.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