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Челябинской области от 20.08.2021, оставленным без изменения постановлением Восемнадцатого арбитражного апелляционного суда от 05.10.2021 и постановлением Арбитражного суда Уральского округа от 22.12.2021, в пользу должника из конкурсной массы установлена выплата в размере 100% прожиточного минимума, установленного постановлением Губернатора Челябинской области для трудоспособного населения, начиная с 19.04.2021. В кассационной жалобе Кузьмин А.В. просит об отмене судебных актов, ссылаясь на игнорирование недобросовестности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Установление выплаты из конкурсной массы суммы, составляющей прожиточный минимум на содержание должника основано на статье 446 Гражданского процессуального кодекса Российской Федерации, статье 213.25 Федерального закона от 26.10.2002 № 127-ФЗ «О несостоятельности (банкротстве)»,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Наличия иных доходов должника, за счет которых возможно поддержание необходимого уровня жизни, не установлено, вследствие чего суды признали заявленное требование правомерным.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Кузьмину А.В.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